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EE673" w14:textId="77777777" w:rsidR="00F07575" w:rsidRPr="00F07575" w:rsidRDefault="00F07575" w:rsidP="00F07575">
      <w:pPr>
        <w:spacing w:after="0" w:line="276" w:lineRule="auto"/>
        <w:jc w:val="center"/>
        <w:rPr>
          <w:rFonts w:ascii="PermianSerifTypeface" w:hAnsi="PermianSerifTypeface" w:cs="Times New Roman"/>
          <w:b/>
          <w:bCs/>
          <w:sz w:val="24"/>
          <w:szCs w:val="24"/>
          <w:lang w:val="en-GB"/>
        </w:rPr>
      </w:pPr>
      <w:r w:rsidRPr="00F07575">
        <w:rPr>
          <w:rFonts w:ascii="PermianSerifTypeface" w:hAnsi="PermianSerifTypeface" w:cs="Times New Roman"/>
          <w:b/>
          <w:bCs/>
          <w:sz w:val="24"/>
          <w:szCs w:val="24"/>
          <w:lang w:val="en-GB"/>
        </w:rPr>
        <w:t>EXECUTIVE BOARD</w:t>
      </w:r>
    </w:p>
    <w:p w14:paraId="3A8BB78C" w14:textId="77777777" w:rsidR="00F07575" w:rsidRPr="00F07575" w:rsidRDefault="00F07575" w:rsidP="00F07575">
      <w:pPr>
        <w:spacing w:after="0" w:line="276" w:lineRule="auto"/>
        <w:jc w:val="center"/>
        <w:rPr>
          <w:rFonts w:ascii="PermianSerifTypeface" w:hAnsi="PermianSerifTypeface" w:cs="Times New Roman"/>
          <w:b/>
          <w:bCs/>
          <w:sz w:val="24"/>
          <w:szCs w:val="24"/>
          <w:lang w:val="en-GB"/>
        </w:rPr>
      </w:pPr>
      <w:r w:rsidRPr="00F07575">
        <w:rPr>
          <w:rFonts w:ascii="PermianSerifTypeface" w:hAnsi="PermianSerifTypeface" w:cs="Times New Roman"/>
          <w:b/>
          <w:bCs/>
          <w:sz w:val="24"/>
          <w:szCs w:val="24"/>
          <w:lang w:val="en-GB"/>
        </w:rPr>
        <w:t>OF THE NATIONAL BANK OF MOLDOVA</w:t>
      </w:r>
    </w:p>
    <w:p w14:paraId="1D0D53BF" w14:textId="77777777" w:rsidR="00F07575" w:rsidRPr="00F07575" w:rsidRDefault="00F07575" w:rsidP="00F07575">
      <w:pPr>
        <w:jc w:val="center"/>
        <w:rPr>
          <w:rFonts w:ascii="PermianSerifTypeface" w:hAnsi="PermianSerifTypeface" w:cs="Times New Roman"/>
          <w:sz w:val="24"/>
          <w:szCs w:val="24"/>
          <w:lang w:val="en-GB"/>
        </w:rPr>
      </w:pPr>
    </w:p>
    <w:p w14:paraId="235290B8" w14:textId="77777777" w:rsidR="00F07575" w:rsidRPr="00F07575" w:rsidRDefault="00F07575" w:rsidP="00F07575">
      <w:pPr>
        <w:spacing w:after="0"/>
        <w:jc w:val="center"/>
        <w:rPr>
          <w:rFonts w:ascii="PermianSerifTypeface" w:hAnsi="PermianSerifTypeface" w:cs="Times New Roman"/>
          <w:b/>
          <w:bCs/>
          <w:sz w:val="24"/>
          <w:szCs w:val="24"/>
          <w:lang w:val="en-GB"/>
        </w:rPr>
      </w:pPr>
      <w:r w:rsidRPr="00F07575">
        <w:rPr>
          <w:rFonts w:ascii="PermianSerifTypeface" w:hAnsi="PermianSerifTypeface" w:cs="Times New Roman"/>
          <w:b/>
          <w:bCs/>
          <w:sz w:val="24"/>
          <w:szCs w:val="24"/>
          <w:lang w:val="en-GB"/>
        </w:rPr>
        <w:t>DECISION</w:t>
      </w:r>
    </w:p>
    <w:p w14:paraId="31869D84" w14:textId="17A47F10" w:rsidR="00F07575" w:rsidRPr="00F07575" w:rsidRDefault="00F07575" w:rsidP="00F07575">
      <w:pPr>
        <w:spacing w:after="0"/>
        <w:jc w:val="center"/>
        <w:rPr>
          <w:rFonts w:ascii="PermianSerifTypeface" w:hAnsi="PermianSerifTypeface" w:cs="Times New Roman"/>
          <w:b/>
          <w:bCs/>
          <w:sz w:val="24"/>
          <w:szCs w:val="24"/>
          <w:lang w:val="en-GB"/>
        </w:rPr>
      </w:pPr>
      <w:r w:rsidRPr="00F07575">
        <w:rPr>
          <w:rFonts w:ascii="PermianSerifTypeface" w:hAnsi="PermianSerifTypeface" w:cs="Times New Roman"/>
          <w:b/>
          <w:bCs/>
          <w:sz w:val="24"/>
          <w:szCs w:val="24"/>
          <w:lang w:val="en-GB"/>
        </w:rPr>
        <w:t xml:space="preserve">No </w:t>
      </w:r>
      <w:r w:rsidRPr="00F07575">
        <w:rPr>
          <w:rFonts w:ascii="PermianSerifTypeface" w:hAnsi="PermianSerifTypeface" w:cs="Times New Roman"/>
          <w:b/>
          <w:bCs/>
          <w:sz w:val="24"/>
          <w:szCs w:val="24"/>
          <w:u w:val="single"/>
          <w:lang w:val="en-GB"/>
        </w:rPr>
        <w:t>11</w:t>
      </w:r>
      <w:r w:rsidRPr="00F07575">
        <w:rPr>
          <w:rFonts w:ascii="PermianSerifTypeface" w:hAnsi="PermianSerifTypeface" w:cs="Times New Roman"/>
          <w:b/>
          <w:bCs/>
          <w:sz w:val="24"/>
          <w:szCs w:val="24"/>
          <w:lang w:val="en-GB"/>
        </w:rPr>
        <w:t xml:space="preserve"> of </w:t>
      </w:r>
      <w:r w:rsidRPr="00F07575">
        <w:rPr>
          <w:rFonts w:ascii="PermianSerifTypeface" w:hAnsi="PermianSerifTypeface" w:cs="Times New Roman"/>
          <w:b/>
          <w:bCs/>
          <w:sz w:val="24"/>
          <w:szCs w:val="24"/>
          <w:u w:val="single"/>
          <w:lang w:val="en-GB"/>
        </w:rPr>
        <w:t>11</w:t>
      </w:r>
      <w:r w:rsidRPr="00F07575">
        <w:rPr>
          <w:rFonts w:ascii="PermianSerifTypeface" w:hAnsi="PermianSerifTypeface" w:cs="Times New Roman"/>
          <w:b/>
          <w:bCs/>
          <w:sz w:val="24"/>
          <w:szCs w:val="24"/>
          <w:lang w:val="en-GB"/>
        </w:rPr>
        <w:t xml:space="preserve"> </w:t>
      </w:r>
      <w:r w:rsidRPr="00F07575">
        <w:rPr>
          <w:rFonts w:ascii="PermianSerifTypeface" w:hAnsi="PermianSerifTypeface" w:cs="Times New Roman"/>
          <w:b/>
          <w:bCs/>
          <w:sz w:val="24"/>
          <w:szCs w:val="24"/>
          <w:u w:val="single"/>
          <w:lang w:val="en-GB"/>
        </w:rPr>
        <w:t>January</w:t>
      </w:r>
      <w:r w:rsidRPr="00F07575">
        <w:rPr>
          <w:rFonts w:ascii="PermianSerifTypeface" w:hAnsi="PermianSerifTypeface" w:cs="Times New Roman"/>
          <w:b/>
          <w:bCs/>
          <w:sz w:val="24"/>
          <w:szCs w:val="24"/>
          <w:lang w:val="en-GB"/>
        </w:rPr>
        <w:t xml:space="preserve"> 20</w:t>
      </w:r>
      <w:r w:rsidRPr="00F07575">
        <w:rPr>
          <w:rFonts w:ascii="PermianSerifTypeface" w:hAnsi="PermianSerifTypeface" w:cs="Times New Roman"/>
          <w:b/>
          <w:bCs/>
          <w:sz w:val="24"/>
          <w:szCs w:val="24"/>
          <w:u w:val="single"/>
          <w:lang w:val="en-GB"/>
        </w:rPr>
        <w:t>24</w:t>
      </w:r>
    </w:p>
    <w:p w14:paraId="14558D0C" w14:textId="77777777" w:rsidR="00F07575" w:rsidRPr="00F07575" w:rsidRDefault="00F07575" w:rsidP="00F07575">
      <w:pPr>
        <w:spacing w:after="0"/>
        <w:jc w:val="center"/>
        <w:rPr>
          <w:rFonts w:ascii="PermianSerifTypeface" w:hAnsi="PermianSerifTypeface" w:cs="Times New Roman"/>
          <w:b/>
          <w:bCs/>
          <w:sz w:val="24"/>
          <w:szCs w:val="24"/>
          <w:lang w:val="en-GB"/>
        </w:rPr>
      </w:pPr>
    </w:p>
    <w:p w14:paraId="3110D2C3" w14:textId="77777777" w:rsidR="00F07575" w:rsidRPr="00F07575" w:rsidRDefault="00F07575" w:rsidP="00F07575">
      <w:pPr>
        <w:spacing w:after="0"/>
        <w:jc w:val="center"/>
        <w:rPr>
          <w:rFonts w:ascii="PermianSerifTypeface" w:hAnsi="PermianSerifTypeface" w:cs="Times New Roman"/>
          <w:b/>
          <w:bCs/>
          <w:sz w:val="24"/>
          <w:szCs w:val="24"/>
          <w:lang w:val="en-GB"/>
        </w:rPr>
      </w:pPr>
    </w:p>
    <w:p w14:paraId="6D724EAA" w14:textId="77777777" w:rsidR="00F07575" w:rsidRPr="00F07575" w:rsidRDefault="00F07575" w:rsidP="00F07575">
      <w:pPr>
        <w:spacing w:after="0"/>
        <w:jc w:val="center"/>
        <w:rPr>
          <w:rFonts w:ascii="PermianSerifTypeface" w:hAnsi="PermianSerifTypeface" w:cs="Times New Roman"/>
          <w:b/>
          <w:bCs/>
          <w:sz w:val="24"/>
          <w:szCs w:val="24"/>
          <w:lang w:val="en-GB"/>
        </w:rPr>
      </w:pPr>
      <w:r w:rsidRPr="00F07575">
        <w:rPr>
          <w:rFonts w:ascii="PermianSerifTypeface" w:hAnsi="PermianSerifTypeface" w:cs="Times New Roman"/>
          <w:b/>
          <w:bCs/>
          <w:sz w:val="24"/>
          <w:szCs w:val="24"/>
          <w:lang w:val="en-GB"/>
        </w:rPr>
        <w:t xml:space="preserve">on the approval of the Regulation on licencing and registration of payment institutions, electronic money institutions and postal service providers acting as payment service providers and/or electronic money </w:t>
      </w:r>
      <w:proofErr w:type="gramStart"/>
      <w:r w:rsidRPr="00F07575">
        <w:rPr>
          <w:rFonts w:ascii="PermianSerifTypeface" w:hAnsi="PermianSerifTypeface" w:cs="Times New Roman"/>
          <w:b/>
          <w:bCs/>
          <w:sz w:val="24"/>
          <w:szCs w:val="24"/>
          <w:lang w:val="en-GB"/>
        </w:rPr>
        <w:t>issuers</w:t>
      </w:r>
      <w:proofErr w:type="gramEnd"/>
    </w:p>
    <w:p w14:paraId="1E97D9E6" w14:textId="67DB6075" w:rsidR="00F07575" w:rsidRPr="00F07575" w:rsidRDefault="00F07575" w:rsidP="00F07575">
      <w:pPr>
        <w:ind w:left="540" w:right="354"/>
        <w:jc w:val="center"/>
        <w:rPr>
          <w:rFonts w:ascii="PermianSerifTypeface" w:hAnsi="PermianSerifTypeface"/>
          <w:b/>
          <w:bCs/>
          <w:i/>
          <w:iCs/>
          <w:lang w:val="en-GB"/>
        </w:rPr>
      </w:pPr>
      <w:r w:rsidRPr="00F07575">
        <w:rPr>
          <w:rFonts w:ascii="PermianSerifTypeface" w:hAnsi="PermianSerifTypeface"/>
          <w:b/>
          <w:bCs/>
          <w:i/>
          <w:iCs/>
          <w:lang w:val="en-GB"/>
        </w:rPr>
        <w:t>(</w:t>
      </w:r>
      <w:proofErr w:type="gramStart"/>
      <w:r w:rsidRPr="00F07575">
        <w:rPr>
          <w:rFonts w:ascii="PermianSerifTypeface" w:hAnsi="PermianSerifTypeface"/>
          <w:b/>
          <w:bCs/>
          <w:i/>
          <w:iCs/>
          <w:lang w:val="en-GB"/>
        </w:rPr>
        <w:t>in</w:t>
      </w:r>
      <w:proofErr w:type="gramEnd"/>
      <w:r w:rsidRPr="00F07575">
        <w:rPr>
          <w:rFonts w:ascii="PermianSerifTypeface" w:hAnsi="PermianSerifTypeface"/>
          <w:b/>
          <w:bCs/>
          <w:i/>
          <w:iCs/>
          <w:lang w:val="en-GB"/>
        </w:rPr>
        <w:t xml:space="preserve"> force from 26.01.2024, with some exceptions according to point 3) </w:t>
      </w:r>
    </w:p>
    <w:p w14:paraId="10E0E402" w14:textId="77777777" w:rsidR="00F07575" w:rsidRPr="00F07575" w:rsidRDefault="00F07575" w:rsidP="00F07575">
      <w:pPr>
        <w:spacing w:after="0"/>
        <w:jc w:val="center"/>
        <w:rPr>
          <w:rFonts w:ascii="PermianSerifTypeface" w:hAnsi="PermianSerifTypeface" w:cs="Times New Roman"/>
          <w:b/>
          <w:bCs/>
          <w:sz w:val="24"/>
          <w:szCs w:val="24"/>
          <w:lang w:val="en-GB"/>
        </w:rPr>
      </w:pPr>
    </w:p>
    <w:p w14:paraId="003F5A5E" w14:textId="14E02FDA" w:rsidR="00F07575" w:rsidRPr="00F07575" w:rsidRDefault="00F07575" w:rsidP="00F07575">
      <w:pPr>
        <w:pStyle w:val="ListParagraph"/>
        <w:tabs>
          <w:tab w:val="left" w:pos="284"/>
        </w:tabs>
        <w:spacing w:after="0"/>
        <w:ind w:left="0"/>
        <w:rPr>
          <w:rStyle w:val="Emphasis"/>
          <w:rFonts w:ascii="PermianSerifTypeface" w:hAnsi="PermianSerifTypeface"/>
          <w:color w:val="56534F"/>
          <w:shd w:val="clear" w:color="auto" w:fill="FAFAFA"/>
          <w:lang w:val="en-GB"/>
        </w:rPr>
      </w:pPr>
      <w:r w:rsidRPr="00F07575">
        <w:rPr>
          <w:rStyle w:val="Emphasis"/>
          <w:rFonts w:ascii="PermianSerifTypeface" w:hAnsi="PermianSerifTypeface"/>
          <w:color w:val="56534F"/>
          <w:shd w:val="clear" w:color="auto" w:fill="FAFAFA"/>
          <w:lang w:val="en-GB"/>
        </w:rPr>
        <w:t>Amended by:</w:t>
      </w:r>
      <w:r w:rsidRPr="00F07575">
        <w:rPr>
          <w:rFonts w:ascii="PermianSerifTypeface" w:hAnsi="PermianSerifTypeface"/>
          <w:i/>
          <w:iCs/>
          <w:color w:val="56534F"/>
          <w:shd w:val="clear" w:color="auto" w:fill="FAFAFA"/>
          <w:lang w:val="en-GB"/>
        </w:rPr>
        <w:br/>
      </w:r>
      <w:r w:rsidRPr="00F07575">
        <w:rPr>
          <w:rStyle w:val="Emphasis"/>
          <w:rFonts w:ascii="PermianSerifTypeface" w:hAnsi="PermianSerifTypeface"/>
          <w:color w:val="56534F"/>
          <w:shd w:val="clear" w:color="auto" w:fill="FAFAFA"/>
          <w:lang w:val="en-GB"/>
        </w:rPr>
        <w:t xml:space="preserve">Decision No 267 of October </w:t>
      </w:r>
      <w:r w:rsidR="00DE35F9" w:rsidRPr="00F07575">
        <w:rPr>
          <w:rStyle w:val="Emphasis"/>
          <w:rFonts w:ascii="PermianSerifTypeface" w:hAnsi="PermianSerifTypeface"/>
          <w:color w:val="56534F"/>
          <w:shd w:val="clear" w:color="auto" w:fill="FAFAFA"/>
          <w:lang w:val="en-GB"/>
        </w:rPr>
        <w:t>31</w:t>
      </w:r>
      <w:r w:rsidR="00DE35F9">
        <w:rPr>
          <w:rStyle w:val="Emphasis"/>
          <w:rFonts w:ascii="PermianSerifTypeface" w:hAnsi="PermianSerifTypeface"/>
          <w:color w:val="56534F"/>
          <w:shd w:val="clear" w:color="auto" w:fill="FAFAFA"/>
          <w:lang w:val="en-GB"/>
        </w:rPr>
        <w:t>,</w:t>
      </w:r>
      <w:r w:rsidR="00DE35F9" w:rsidRPr="00F07575">
        <w:rPr>
          <w:rStyle w:val="Emphasis"/>
          <w:rFonts w:ascii="PermianSerifTypeface" w:hAnsi="PermianSerifTypeface"/>
          <w:color w:val="56534F"/>
          <w:shd w:val="clear" w:color="auto" w:fill="FAFAFA"/>
          <w:lang w:val="en-GB"/>
        </w:rPr>
        <w:t xml:space="preserve"> </w:t>
      </w:r>
      <w:proofErr w:type="gramStart"/>
      <w:r w:rsidRPr="00F07575">
        <w:rPr>
          <w:rStyle w:val="Emphasis"/>
          <w:rFonts w:ascii="PermianSerifTypeface" w:hAnsi="PermianSerifTypeface"/>
          <w:color w:val="56534F"/>
          <w:shd w:val="clear" w:color="auto" w:fill="FAFAFA"/>
          <w:lang w:val="en-GB"/>
        </w:rPr>
        <w:t>2024</w:t>
      </w:r>
      <w:proofErr w:type="gramEnd"/>
      <w:r w:rsidRPr="00F07575">
        <w:rPr>
          <w:rStyle w:val="Emphasis"/>
          <w:rFonts w:ascii="PermianSerifTypeface" w:hAnsi="PermianSerifTypeface"/>
          <w:color w:val="56534F"/>
          <w:shd w:val="clear" w:color="auto" w:fill="FAFAFA"/>
          <w:lang w:val="en-GB"/>
        </w:rPr>
        <w:t xml:space="preserve"> of the Executive Board of the NBM, MO No 459-461 of 07.11.2024, art.872</w:t>
      </w:r>
    </w:p>
    <w:p w14:paraId="5540C911" w14:textId="77777777" w:rsidR="00F07575" w:rsidRPr="00F07575" w:rsidRDefault="00F07575" w:rsidP="00F07575">
      <w:pPr>
        <w:spacing w:after="0"/>
        <w:jc w:val="center"/>
        <w:rPr>
          <w:rFonts w:ascii="Times New Roman" w:hAnsi="Times New Roman" w:cs="Times New Roman"/>
          <w:b/>
          <w:bCs/>
          <w:sz w:val="24"/>
          <w:szCs w:val="24"/>
          <w:lang w:val="en-GB"/>
        </w:rPr>
      </w:pPr>
    </w:p>
    <w:p w14:paraId="316E6E03" w14:textId="77777777" w:rsidR="00F07575" w:rsidRPr="00F07575" w:rsidRDefault="00F07575" w:rsidP="00F07575">
      <w:pPr>
        <w:spacing w:after="0"/>
        <w:jc w:val="both"/>
        <w:rPr>
          <w:rFonts w:ascii="PermianSerifTypeface" w:hAnsi="PermianSerifTypeface" w:cs="Arial"/>
          <w:sz w:val="24"/>
          <w:szCs w:val="24"/>
          <w:lang w:val="en-GB"/>
        </w:rPr>
      </w:pPr>
      <w:r w:rsidRPr="00F07575">
        <w:rPr>
          <w:rFonts w:ascii="PermianSerifTypeface" w:hAnsi="PermianSerifTypeface" w:cs="Times New Roman"/>
          <w:sz w:val="24"/>
          <w:szCs w:val="24"/>
          <w:lang w:val="en-GB"/>
        </w:rPr>
        <w:t xml:space="preserve">Pursuant to Article </w:t>
      </w:r>
      <w:r w:rsidRPr="00F07575">
        <w:rPr>
          <w:rFonts w:ascii="PermianSerifTypeface" w:hAnsi="PermianSerifTypeface" w:cs="Arial"/>
          <w:sz w:val="24"/>
          <w:szCs w:val="24"/>
          <w:lang w:val="en-GB"/>
        </w:rPr>
        <w:t>14 paragraph (1) and (2), Article 17 paragraph (12), Article 19 paragraph (5), Article 21 paragraph (3), Article 23</w:t>
      </w:r>
      <w:r w:rsidRPr="00F07575">
        <w:rPr>
          <w:rFonts w:ascii="PermianSerifTypeface" w:hAnsi="PermianSerifTypeface" w:cs="Arial"/>
          <w:sz w:val="24"/>
          <w:szCs w:val="24"/>
          <w:vertAlign w:val="superscript"/>
          <w:lang w:val="en-GB"/>
        </w:rPr>
        <w:t>1</w:t>
      </w:r>
      <w:r w:rsidRPr="00F07575">
        <w:rPr>
          <w:rFonts w:ascii="PermianSerifTypeface" w:hAnsi="PermianSerifTypeface" w:cs="Arial"/>
          <w:sz w:val="24"/>
          <w:szCs w:val="24"/>
          <w:lang w:val="en-GB"/>
        </w:rPr>
        <w:t xml:space="preserve"> paragraph (1), Article 84 and Article 94 paragraph (1) letter c) of Law No 114/2012 on payment services and electronic money (Official Monitor of the Republic of Moldova, 2012, No 193-197, Article 661), with further amendments, the Executive Board of the National Bank of Moldova </w:t>
      </w:r>
    </w:p>
    <w:p w14:paraId="747F44F3" w14:textId="77777777" w:rsidR="00F07575" w:rsidRPr="00F07575" w:rsidRDefault="00F07575" w:rsidP="00F07575">
      <w:pPr>
        <w:spacing w:after="0"/>
        <w:jc w:val="both"/>
        <w:rPr>
          <w:rFonts w:ascii="PermianSerifTypeface" w:hAnsi="PermianSerifTypeface" w:cs="Arial"/>
          <w:sz w:val="24"/>
          <w:szCs w:val="24"/>
          <w:lang w:val="en-GB"/>
        </w:rPr>
      </w:pPr>
    </w:p>
    <w:p w14:paraId="518512A4" w14:textId="77777777" w:rsidR="00F07575" w:rsidRPr="00F07575" w:rsidRDefault="00F07575" w:rsidP="00F07575">
      <w:pPr>
        <w:spacing w:after="0"/>
        <w:jc w:val="center"/>
        <w:rPr>
          <w:rFonts w:ascii="PermianSerifTypeface" w:hAnsi="PermianSerifTypeface" w:cs="Arial"/>
          <w:b/>
          <w:bCs/>
          <w:sz w:val="24"/>
          <w:szCs w:val="24"/>
          <w:lang w:val="en-GB"/>
        </w:rPr>
      </w:pPr>
      <w:r w:rsidRPr="00F07575">
        <w:rPr>
          <w:rFonts w:ascii="PermianSerifTypeface" w:hAnsi="PermianSerifTypeface" w:cs="Arial"/>
          <w:b/>
          <w:bCs/>
          <w:sz w:val="24"/>
          <w:szCs w:val="24"/>
          <w:lang w:val="en-GB"/>
        </w:rPr>
        <w:t xml:space="preserve">DECIDES: </w:t>
      </w:r>
    </w:p>
    <w:p w14:paraId="7928FADC" w14:textId="77777777" w:rsidR="00F07575" w:rsidRPr="00F07575" w:rsidRDefault="00F07575" w:rsidP="00F07575">
      <w:pPr>
        <w:spacing w:after="0"/>
        <w:jc w:val="center"/>
        <w:rPr>
          <w:rFonts w:ascii="PermianSerifTypeface" w:hAnsi="PermianSerifTypeface" w:cs="Arial"/>
          <w:sz w:val="24"/>
          <w:szCs w:val="24"/>
          <w:lang w:val="en-GB"/>
        </w:rPr>
      </w:pPr>
    </w:p>
    <w:p w14:paraId="342CCF98" w14:textId="4900248E" w:rsidR="00F07575" w:rsidRPr="00F07575" w:rsidRDefault="00F07575" w:rsidP="00F07575">
      <w:pPr>
        <w:pStyle w:val="ListParagraph"/>
        <w:numPr>
          <w:ilvl w:val="0"/>
          <w:numId w:val="1"/>
        </w:numPr>
        <w:tabs>
          <w:tab w:val="left" w:pos="284"/>
        </w:tabs>
        <w:spacing w:after="0"/>
        <w:ind w:left="0" w:firstLine="0"/>
        <w:jc w:val="both"/>
        <w:rPr>
          <w:rFonts w:ascii="PermianSerifTypeface" w:hAnsi="PermianSerifTypeface" w:cs="Times New Roman"/>
          <w:b/>
          <w:bCs/>
          <w:sz w:val="24"/>
          <w:szCs w:val="24"/>
          <w:lang w:val="en-GB"/>
        </w:rPr>
      </w:pPr>
      <w:r w:rsidRPr="00F07575">
        <w:rPr>
          <w:rFonts w:ascii="PermianSerifTypeface" w:hAnsi="PermianSerifTypeface" w:cs="Times New Roman"/>
          <w:sz w:val="24"/>
          <w:szCs w:val="24"/>
          <w:lang w:val="en-GB"/>
        </w:rPr>
        <w:t>To approve the Regulation on licencing and registration of payment institutions, electronic money institutions and postal service providers acting as payment service providers and/or electronic money issuers (</w:t>
      </w:r>
      <w:hyperlink r:id="rId5" w:history="1">
        <w:r w:rsidRPr="00382676">
          <w:rPr>
            <w:rStyle w:val="Hyperlink"/>
            <w:rFonts w:ascii="PermianSerifTypeface" w:hAnsi="PermianSerifTypeface" w:cs="Times New Roman"/>
            <w:sz w:val="24"/>
            <w:szCs w:val="24"/>
            <w:lang w:val="en-GB"/>
          </w:rPr>
          <w:t>shall be attached</w:t>
        </w:r>
      </w:hyperlink>
      <w:r w:rsidRPr="00F07575">
        <w:rPr>
          <w:rFonts w:ascii="PermianSerifTypeface" w:hAnsi="PermianSerifTypeface" w:cs="Times New Roman"/>
          <w:sz w:val="24"/>
          <w:szCs w:val="24"/>
          <w:lang w:val="en-GB"/>
        </w:rPr>
        <w:t xml:space="preserve">). </w:t>
      </w:r>
    </w:p>
    <w:p w14:paraId="3624D5DB" w14:textId="77777777" w:rsidR="00F07575" w:rsidRPr="00F07575" w:rsidRDefault="00F07575" w:rsidP="00F07575">
      <w:pPr>
        <w:pStyle w:val="ListParagraph"/>
        <w:numPr>
          <w:ilvl w:val="0"/>
          <w:numId w:val="1"/>
        </w:numPr>
        <w:tabs>
          <w:tab w:val="left" w:pos="284"/>
        </w:tabs>
        <w:spacing w:after="0"/>
        <w:ind w:left="0" w:firstLine="0"/>
        <w:jc w:val="both"/>
        <w:rPr>
          <w:rFonts w:ascii="PermianSerifTypeface" w:hAnsi="PermianSerifTypeface" w:cs="Times New Roman"/>
          <w:b/>
          <w:bCs/>
          <w:sz w:val="24"/>
          <w:szCs w:val="24"/>
          <w:lang w:val="en-GB"/>
        </w:rPr>
      </w:pPr>
      <w:r w:rsidRPr="00F07575">
        <w:rPr>
          <w:rFonts w:ascii="PermianSerifTypeface" w:hAnsi="PermianSerifTypeface" w:cs="Times New Roman"/>
          <w:sz w:val="24"/>
          <w:szCs w:val="24"/>
          <w:lang w:val="en-GB"/>
        </w:rPr>
        <w:t>To repeal the Decision of the Executive Board of the National Bank of Moldova No 217/2019 (Official Monitor of the Republic of Moldova, 2019, No 269-272, Article 1460), registered at the Ministry of Justice of the Republic of Moldova on 21 August 2019, No 1485.</w:t>
      </w:r>
    </w:p>
    <w:p w14:paraId="3E2D1205" w14:textId="77777777" w:rsidR="00F07575" w:rsidRPr="00F07575" w:rsidRDefault="00F07575" w:rsidP="00F07575">
      <w:pPr>
        <w:pStyle w:val="ListParagraph"/>
        <w:numPr>
          <w:ilvl w:val="0"/>
          <w:numId w:val="1"/>
        </w:numPr>
        <w:tabs>
          <w:tab w:val="left" w:pos="284"/>
        </w:tabs>
        <w:spacing w:after="0"/>
        <w:ind w:left="0" w:firstLine="0"/>
        <w:jc w:val="both"/>
        <w:rPr>
          <w:rFonts w:ascii="PermianSerifTypeface" w:hAnsi="PermianSerifTypeface" w:cs="Times New Roman"/>
          <w:b/>
          <w:bCs/>
          <w:sz w:val="24"/>
          <w:szCs w:val="24"/>
          <w:lang w:val="en-GB"/>
        </w:rPr>
      </w:pPr>
      <w:r w:rsidRPr="00F07575">
        <w:rPr>
          <w:rFonts w:ascii="PermianSerifTypeface" w:hAnsi="PermianSerifTypeface" w:cs="Times New Roman"/>
          <w:sz w:val="24"/>
          <w:szCs w:val="24"/>
          <w:lang w:val="en-GB"/>
        </w:rPr>
        <w:t xml:space="preserve">This Decision shall enter into force on the day of its publication in the Official Monitor of the Republic of Moldova, except the provisions on licencing and registering the non-bank payment service providers that provide payment services referred to in Article 4 paragraph (1) item 8) and 9) of Law No 114/2012 on payment services and electronic money, which shall enter into force on 5 August 2024. </w:t>
      </w:r>
    </w:p>
    <w:p w14:paraId="1CC4053B" w14:textId="1D2389B9" w:rsidR="00F07575" w:rsidRPr="00F07575" w:rsidRDefault="00F07575" w:rsidP="00F07575">
      <w:pPr>
        <w:pStyle w:val="ListParagraph"/>
        <w:tabs>
          <w:tab w:val="left" w:pos="284"/>
        </w:tabs>
        <w:spacing w:after="0"/>
        <w:ind w:left="0"/>
        <w:rPr>
          <w:rFonts w:ascii="PermianSerifTypeface" w:hAnsi="PermianSerifTypeface"/>
          <w:color w:val="A6A6A6" w:themeColor="background1" w:themeShade="A6"/>
          <w:shd w:val="clear" w:color="auto" w:fill="FAFAFA"/>
          <w:lang w:val="en-GB"/>
        </w:rPr>
      </w:pPr>
      <w:r w:rsidRPr="00F07575">
        <w:rPr>
          <w:rFonts w:ascii="PermianSerifTypeface" w:hAnsi="PermianSerifTypeface" w:cs="Times New Roman"/>
          <w:color w:val="A6A6A6" w:themeColor="background1" w:themeShade="A6"/>
          <w:lang w:val="en-GB"/>
        </w:rPr>
        <w:t xml:space="preserve">[Point 3 amended by </w:t>
      </w:r>
      <w:r w:rsidRPr="00F07575">
        <w:rPr>
          <w:rStyle w:val="Emphasis"/>
          <w:rFonts w:ascii="PermianSerifTypeface" w:hAnsi="PermianSerifTypeface"/>
          <w:color w:val="A6A6A6" w:themeColor="background1" w:themeShade="A6"/>
          <w:shd w:val="clear" w:color="auto" w:fill="FAFAFA"/>
          <w:lang w:val="en-GB"/>
        </w:rPr>
        <w:t>Decision No 267 of 31 October 2024 of the Executive Board of the NBM</w:t>
      </w:r>
      <w:r w:rsidRPr="00F07575">
        <w:rPr>
          <w:rFonts w:ascii="PermianSerifTypeface" w:hAnsi="PermianSerifTypeface" w:cs="Times New Roman"/>
          <w:color w:val="A6A6A6" w:themeColor="background1" w:themeShade="A6"/>
          <w:lang w:val="en-GB"/>
        </w:rPr>
        <w:t>]</w:t>
      </w:r>
    </w:p>
    <w:p w14:paraId="62190D06" w14:textId="77777777" w:rsidR="00F07575" w:rsidRPr="00F07575" w:rsidRDefault="00F07575" w:rsidP="00F07575">
      <w:pPr>
        <w:pStyle w:val="ListParagraph"/>
        <w:numPr>
          <w:ilvl w:val="0"/>
          <w:numId w:val="1"/>
        </w:numPr>
        <w:tabs>
          <w:tab w:val="left" w:pos="284"/>
        </w:tabs>
        <w:spacing w:after="0"/>
        <w:ind w:left="0" w:firstLine="0"/>
        <w:jc w:val="both"/>
        <w:rPr>
          <w:rFonts w:ascii="PermianSerifTypeface" w:hAnsi="PermianSerifTypeface" w:cs="Times New Roman"/>
          <w:b/>
          <w:bCs/>
          <w:sz w:val="24"/>
          <w:szCs w:val="24"/>
          <w:lang w:val="en-GB"/>
        </w:rPr>
      </w:pPr>
      <w:r w:rsidRPr="00F07575">
        <w:rPr>
          <w:rFonts w:ascii="PermianSerifTypeface" w:hAnsi="PermianSerifTypeface" w:cs="Times New Roman"/>
          <w:sz w:val="24"/>
          <w:szCs w:val="24"/>
          <w:lang w:val="en-GB"/>
        </w:rPr>
        <w:t>Within up to 6 February 2024, non-bank service providers holding a licence of the National Bank of Moldova for providing payment services and/or issuing electronic money, issued under Law No 114/2012 on payment  service and electronic money, shall adapt their questionnaires, mechanisms and internal procedures according to the provisions of this Regulation, which shall enter into force on the day of their publication in the Official Monitor of the Republic of Moldova.</w:t>
      </w:r>
    </w:p>
    <w:p w14:paraId="76159CC2" w14:textId="77777777" w:rsidR="00F07575" w:rsidRPr="00F07575" w:rsidRDefault="00F07575" w:rsidP="00F07575">
      <w:pPr>
        <w:pStyle w:val="ListParagraph"/>
        <w:numPr>
          <w:ilvl w:val="0"/>
          <w:numId w:val="1"/>
        </w:numPr>
        <w:tabs>
          <w:tab w:val="left" w:pos="284"/>
        </w:tabs>
        <w:spacing w:after="0"/>
        <w:ind w:left="0" w:firstLine="0"/>
        <w:jc w:val="both"/>
        <w:rPr>
          <w:rFonts w:ascii="PermianSerifTypeface" w:hAnsi="PermianSerifTypeface" w:cs="Times New Roman"/>
          <w:b/>
          <w:bCs/>
          <w:sz w:val="24"/>
          <w:szCs w:val="24"/>
          <w:lang w:val="en-GB"/>
        </w:rPr>
      </w:pPr>
      <w:r w:rsidRPr="00E80A47">
        <w:rPr>
          <w:rFonts w:ascii="PermianSerifTypeface" w:hAnsi="PermianSerifTypeface" w:cs="Times New Roman"/>
          <w:sz w:val="24"/>
          <w:szCs w:val="24"/>
          <w:lang w:val="en-GB"/>
        </w:rPr>
        <w:lastRenderedPageBreak/>
        <w:t xml:space="preserve">Within up to 3 months from the date of entry into force of this </w:t>
      </w:r>
      <w:proofErr w:type="gramStart"/>
      <w:r w:rsidRPr="00E80A47">
        <w:rPr>
          <w:rFonts w:ascii="PermianSerifTypeface" w:hAnsi="PermianSerifTypeface" w:cs="Times New Roman"/>
          <w:sz w:val="24"/>
          <w:szCs w:val="24"/>
          <w:lang w:val="en-GB"/>
        </w:rPr>
        <w:t>Decision,  non</w:t>
      </w:r>
      <w:proofErr w:type="gramEnd"/>
      <w:r w:rsidRPr="00E80A47">
        <w:rPr>
          <w:rFonts w:ascii="PermianSerifTypeface" w:hAnsi="PermianSerifTypeface" w:cs="Times New Roman"/>
          <w:sz w:val="24"/>
          <w:szCs w:val="24"/>
          <w:lang w:val="en-GB"/>
        </w:rPr>
        <w:t>-bank payment service providers, holding a licence of the National Bank of Moldova for providing payment services and/or issuing electronic money, issued under Law No 114/2012 on payment  service and electronic money, shall identify the key personnel and ensure that the management framework of non-bank payment service providers complies with the legal requirements.</w:t>
      </w:r>
    </w:p>
    <w:sectPr w:rsidR="00F07575" w:rsidRPr="00F075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412F2"/>
    <w:multiLevelType w:val="hybridMultilevel"/>
    <w:tmpl w:val="3B9AE20A"/>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140263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65"/>
    <w:rsid w:val="00382676"/>
    <w:rsid w:val="008773E9"/>
    <w:rsid w:val="0088381B"/>
    <w:rsid w:val="00A84465"/>
    <w:rsid w:val="00DE35F9"/>
    <w:rsid w:val="00E80A47"/>
    <w:rsid w:val="00F07575"/>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FE2C"/>
  <w15:chartTrackingRefBased/>
  <w15:docId w15:val="{C32E2D81-DFC5-4F7E-B04C-A75A4F45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ESMEC - Titolo 3,Számozott ApPello,Normal Numbered,Table of contents numbered,Testo elenco,Titolo_3,Bullets,text bullet,FVP-Paragrafo,lp1,Heading x1"/>
    <w:basedOn w:val="Normal"/>
    <w:link w:val="ListParagraphChar"/>
    <w:uiPriority w:val="34"/>
    <w:qFormat/>
    <w:rsid w:val="00F07575"/>
    <w:pPr>
      <w:ind w:left="720"/>
      <w:contextualSpacing/>
    </w:pPr>
  </w:style>
  <w:style w:type="character" w:customStyle="1" w:styleId="ListParagraphChar">
    <w:name w:val="List Paragraph Char"/>
    <w:aliases w:val="TESMEC - Titolo 3 Char,Számozott ApPello Char,Normal Numbered Char,Table of contents numbered Char,Testo elenco Char,Titolo_3 Char,Bullets Char,text bullet Char,FVP-Paragrafo Char,lp1 Char,Heading x1 Char"/>
    <w:link w:val="ListParagraph"/>
    <w:uiPriority w:val="34"/>
    <w:qFormat/>
    <w:locked/>
    <w:rsid w:val="00F07575"/>
  </w:style>
  <w:style w:type="character" w:styleId="Emphasis">
    <w:name w:val="Emphasis"/>
    <w:basedOn w:val="DefaultParagraphFont"/>
    <w:uiPriority w:val="20"/>
    <w:qFormat/>
    <w:rsid w:val="00F07575"/>
    <w:rPr>
      <w:i/>
      <w:iCs/>
    </w:rPr>
  </w:style>
  <w:style w:type="character" w:styleId="Hyperlink">
    <w:name w:val="Hyperlink"/>
    <w:basedOn w:val="DefaultParagraphFont"/>
    <w:uiPriority w:val="99"/>
    <w:unhideWhenUsed/>
    <w:rsid w:val="00382676"/>
    <w:rPr>
      <w:color w:val="0563C1" w:themeColor="hyperlink"/>
      <w:u w:val="single"/>
    </w:rPr>
  </w:style>
  <w:style w:type="character" w:styleId="UnresolvedMention">
    <w:name w:val="Unresolved Mention"/>
    <w:basedOn w:val="DefaultParagraphFont"/>
    <w:uiPriority w:val="99"/>
    <w:semiHidden/>
    <w:unhideWhenUsed/>
    <w:rsid w:val="00382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https://bnm.md/en/content/regulation-licencing-and-registration-payment-institutions-electronic-money-institutions-and" TargetMode="External" Type="http://schemas.openxmlformats.org/officeDocument/2006/relationships/hyperlink"/><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435</Words>
  <Characters>2525</Characters>
  <Application>Microsoft Office Word</Application>
  <DocSecurity>0</DocSecurity>
  <Lines>21</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2024-11-18T09:36:00Z</dcterms:created>
  <dcterms:modified xsi:type="dcterms:W3CDTF">2024-12-06T11:27:00Z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4090f4ab-3fc8-4b6b-9e75-a964daef293f</vt:lpwstr>
  </property>
  <property fmtid="{D5CDD505-2E9C-101B-9397-08002B2CF9AE}" pid="3" name="MSIP_Label_38962dcf-d39f-4edc-a396-338a56ba9170_Enabled">
    <vt:lpwstr>true</vt:lpwstr>
  </property>
  <property fmtid="{D5CDD505-2E9C-101B-9397-08002B2CF9AE}" pid="4" name="MSIP_Label_38962dcf-d39f-4edc-a396-338a56ba9170_SetDate">
    <vt:lpwstr>2024-11-18T09:36:42Z</vt:lpwstr>
  </property>
  <property fmtid="{D5CDD505-2E9C-101B-9397-08002B2CF9AE}" pid="5" name="MSIP_Label_38962dcf-d39f-4edc-a396-338a56ba9170_Method">
    <vt:lpwstr>Privileged</vt:lpwstr>
  </property>
  <property fmtid="{D5CDD505-2E9C-101B-9397-08002B2CF9AE}" pid="6" name="MSIP_Label_38962dcf-d39f-4edc-a396-338a56ba9170_Name">
    <vt:lpwstr>NONE</vt:lpwstr>
  </property>
  <property fmtid="{D5CDD505-2E9C-101B-9397-08002B2CF9AE}" pid="7" name="MSIP_Label_38962dcf-d39f-4edc-a396-338a56ba9170_SiteId">
    <vt:lpwstr>5887d430-0034-4561-b771-12c77faf2fa0</vt:lpwstr>
  </property>
  <property fmtid="{D5CDD505-2E9C-101B-9397-08002B2CF9AE}" pid="8" name="MSIP_Label_38962dcf-d39f-4edc-a396-338a56ba9170_ActionId">
    <vt:lpwstr>1953686a-dfde-4236-91f0-44ac7b0c45da</vt:lpwstr>
  </property>
  <property fmtid="{D5CDD505-2E9C-101B-9397-08002B2CF9AE}" pid="9" name="MSIP_Label_38962dcf-d39f-4edc-a396-338a56ba9170_ContentBits">
    <vt:lpwstr>0</vt:lpwstr>
  </property>
  <property fmtid="{D5CDD505-2E9C-101B-9397-08002B2CF9AE}" pid="10" name="Clasificare">
    <vt:lpwstr>NONE</vt:lpwstr>
  </property>
</Properties>
</file>